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permettant de communquer la liste des ressource et vecteurs mobilisés en 15-15 et 15-SMUR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déclenchement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la ressource/du vecteur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^([\w-]+\.){3,4}request(\.[\w-]+){1,2}$)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l'identifiant unique partagé de la demande de ressource (si la ressource a été engagée suite à une demande de ressource), normé comme suit :</w:t>
              <w:br/>
              <w:t>{orgID}.request.{ID unique de la demande dans le système émetteur}</w:t>
              <w:br/>
              <w:t xml:space="preserve">OU - si un ID unique de la demande n'était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missionId</w:t>
            </w:r>
          </w:p>
        </w:tc>
        <w:tc>
          <w:tcPr>
            <w:tcW w:type="dxa" w:w="1984"/>
          </w:tcPr>
          <w:p>
            <w:r>
              <w:t>ID Mission local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mission unique du central d’appel (PSAP, …) qui a déclenché le vecteur</w:t>
            </w:r>
          </w:p>
        </w:tc>
        <w:tc>
          <w:tcPr>
            <w:tcW w:type="dxa" w:w="1701"/>
          </w:tcPr>
          <w:p>
            <w:r>
              <w:t>DRFR15DDXAAJJJ0000.M001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 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l'identifiant de l'organisation à laquelle appartient la ressource, normé comme suit : </w:t>
              <w:br/>
              <w:t>{pays}.{domaine}.{organisation}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centerName</w:t>
            </w:r>
          </w:p>
        </w:tc>
        <w:tc>
          <w:tcPr>
            <w:tcW w:type="dxa" w:w="1984"/>
          </w:tcPr>
          <w:p>
            <w:r>
              <w:t>Nom du centre d’affectation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lieu de garage principal</w:t>
            </w:r>
          </w:p>
        </w:tc>
        <w:tc>
          <w:tcPr>
            <w:tcW w:type="dxa" w:w="1701"/>
          </w:tcPr>
          <w:p>
            <w:r>
              <w:t>CHU Nantes</w:t>
            </w:r>
          </w:p>
        </w:tc>
      </w:tr>
      <w:tr>
        <w:tc>
          <w:tcPr>
            <w:tcW w:type="dxa" w:w="1701"/>
          </w:tcPr>
          <w:p>
            <w:r>
              <w:t>vehicleType</w:t>
            </w:r>
          </w:p>
        </w:tc>
        <w:tc>
          <w:tcPr>
            <w:tcW w:type="dxa" w:w="1984"/>
          </w:tcPr>
          <w:p>
            <w:r>
              <w:t>Type de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vecteur mobilisé : cf. nomenclature associée</w:t>
            </w:r>
          </w:p>
        </w:tc>
        <w:tc>
          <w:tcPr>
            <w:tcW w:type="dxa" w:w="1701"/>
          </w:tcPr>
          <w:p>
            <w:r>
              <w:t>VLM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vecteur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donné à la ressource par l’organisation d’appartenance</w:t>
            </w:r>
          </w:p>
        </w:tc>
        <w:tc>
          <w:tcPr>
            <w:tcW w:type="dxa" w:w="1701"/>
          </w:tcPr>
          <w:p>
            <w:r>
              <w:t>SMUR 123</w:t>
            </w:r>
          </w:p>
        </w:tc>
      </w:tr>
      <w:tr>
        <w:tc>
          <w:tcPr>
            <w:tcW w:type="dxa" w:w="1701"/>
          </w:tcPr>
          <w:p>
            <w:r>
              <w:t>centerCity</w:t>
            </w:r>
          </w:p>
        </w:tc>
        <w:tc>
          <w:tcPr>
            <w:tcW w:type="dxa" w:w="1984"/>
          </w:tcPr>
          <w:p>
            <w:r>
              <w:t>Commune du centre d’affectation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code INSEE de la commune du centre d'affectation</w:t>
            </w:r>
          </w:p>
        </w:tc>
        <w:tc>
          <w:tcPr>
            <w:tcW w:type="dxa" w:w="1701"/>
          </w:tcPr>
          <w:p>
            <w:r>
              <w:t>44109</w:t>
            </w:r>
          </w:p>
        </w:tc>
      </w:tr>
      <w:tr>
        <w:tc>
          <w:tcPr>
            <w:tcW w:type="dxa" w:w="1701"/>
          </w:tcPr>
          <w:p>
            <w:r>
              <w:t>team</w:t>
            </w:r>
          </w:p>
        </w:tc>
        <w:tc>
          <w:tcPr>
            <w:tcW w:type="dxa" w:w="1984"/>
          </w:tcPr>
          <w:p>
            <w:r>
              <w:t>Equipe vecteur</w:t>
            </w:r>
          </w:p>
        </w:tc>
        <w:tc>
          <w:tcPr>
            <w:tcW w:type="dxa" w:w="1134"/>
          </w:tcPr>
          <w:p>
            <w:r>
              <w:t>cf. type team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décrit l'équipe à bord du vecteur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state</w:t>
            </w:r>
          </w:p>
        </w:tc>
        <w:tc>
          <w:tcPr>
            <w:tcW w:type="dxa" w:w="1984"/>
          </w:tcPr>
          <w:p>
            <w:r>
              <w:t>Etat vecteur</w:t>
            </w:r>
          </w:p>
        </w:tc>
        <w:tc>
          <w:tcPr>
            <w:tcW w:type="dxa" w:w="1134"/>
          </w:tcPr>
          <w:p>
            <w:r>
              <w:t>cf. type state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Objet qui permet de décrire l'état d'un vecteur mobilisé - sous forme de liste, il permet de décrire l'historique des états connus d'un même vecteur.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contact du vecteur mobilisé.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Texte libre permettant de passer toute autre information sur la ressource (équipements supplémentaires / spécifiques, particularités du vecteur, etc.)</w:t>
            </w:r>
          </w:p>
        </w:tc>
        <w:tc>
          <w:tcPr>
            <w:tcW w:type="dxa" w:w="1701"/>
          </w:tcPr>
          <w:p>
            <w:r>
              <w:t>SMUR pédiatrique</w:t>
            </w:r>
          </w:p>
        </w:tc>
      </w:tr>
    </w:tbl>
    <w:p>
      <w:pPr>
        <w:pStyle w:val="Heading1"/>
      </w:pPr>
      <w:r>
        <w:t>team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medicalLevel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SI-SAMU-NIVSOIN)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 niveau de médicalisation du vecteur. Cf. nomenclature associée</w:t>
            </w:r>
          </w:p>
        </w:tc>
        <w:tc>
          <w:tcPr>
            <w:tcW w:type="dxa" w:w="1701"/>
          </w:tcPr>
          <w:p>
            <w:r>
              <w:t>MED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l'équipe à bord du vecteur (celui communiqué par l'organisation à laquelle l'équipe appartient)</w:t>
            </w:r>
          </w:p>
        </w:tc>
        <w:tc>
          <w:tcPr>
            <w:tcW w:type="dxa" w:w="1701"/>
          </w:tcPr>
          <w:p>
            <w:r>
              <w:t>Equipe A</w:t>
            </w:r>
          </w:p>
        </w:tc>
      </w:tr>
    </w:tbl>
    <w:p>
      <w:pPr>
        <w:pStyle w:val="Heading1"/>
      </w:pPr>
      <w:r>
        <w:t>state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Date/heure de changement de statut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date et heure d'engagement de changement vers le nouveau statut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vecteur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SI-SAMU-STATUS_VECTEUR)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statut du vecteur. Cf nomenclature associée.</w:t>
            </w:r>
          </w:p>
        </w:tc>
        <w:tc>
          <w:tcPr>
            <w:tcW w:type="dxa" w:w="1701"/>
          </w:tcPr>
          <w:p>
            <w:r>
              <w:t>ARRIVE</w:t>
            </w:r>
          </w:p>
        </w:tc>
      </w:tr>
      <w:tr>
        <w:tc>
          <w:tcPr>
            <w:tcW w:type="dxa" w:w="1701"/>
          </w:tcPr>
          <w:p>
            <w:r>
              <w:t>availability</w:t>
            </w:r>
          </w:p>
        </w:tc>
        <w:tc>
          <w:tcPr>
            <w:tcW w:type="dxa" w:w="1984"/>
          </w:tcPr>
          <w:p>
            <w:r>
              <w:t>Disponibilité du vecteur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de manière à indiquer la disponibilité du vecteur.</w:t>
              <w:br/>
              <w:t>TRUE = DISPONIBLE</w:t>
              <w:br/>
              <w:t>FALSE = INDISPONIBLE</w:t>
              <w:br/>
              <w:t>VIDE = INCONNU</w:t>
            </w:r>
          </w:p>
        </w:tc>
        <w:tc>
          <w:tcPr>
            <w:tcW w:type="dxa" w:w="1701"/>
          </w:tcPr>
          <w:p>
            <w:r>
              <w:t>FALSE</w:t>
            </w:r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de contact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l'URI utilisée. Cf nomenclature associée.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valeur de l'URI utilisée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A21727-BDC3-40BB-8307-77F5C496C5A0}"/>
</file>

<file path=customXml/itemProps3.xml><?xml version="1.0" encoding="utf-8"?>
<ds:datastoreItem xmlns:ds="http://schemas.openxmlformats.org/officeDocument/2006/customXml" ds:itemID="{5618A6AA-A12E-4502-B0DF-518CDFAD0F07}"/>
</file>

<file path=customXml/itemProps4.xml><?xml version="1.0" encoding="utf-8"?>
<ds:datastoreItem xmlns:ds="http://schemas.openxmlformats.org/officeDocument/2006/customXml" ds:itemID="{C808E41D-A057-4362-B8DD-A9222A63D1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